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2066925</wp:posOffset>
            </wp:positionH>
            <wp:positionV relativeFrom="paragraph">
              <wp:posOffset>-171449</wp:posOffset>
            </wp:positionV>
            <wp:extent cx="663575" cy="894080"/>
            <wp:effectExtent b="0" l="0" r="0" t="0"/>
            <wp:wrapNone/>
            <wp:docPr descr="Descrição: images" id="9" name="image3.png"/>
            <a:graphic>
              <a:graphicData uri="http://schemas.openxmlformats.org/drawingml/2006/picture">
                <pic:pic>
                  <pic:nvPicPr>
                    <pic:cNvPr descr="Descrição: images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8940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spacing w:after="0" w:before="28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UNIVERSIDADE DO ESTADO DA BAHIA DEPARTAMENTO DE EDUCAÇÃO – CAMPUS XXIII - SEABRA/ BAHIA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5194935</wp:posOffset>
                </wp:positionH>
                <wp:positionV relativeFrom="paragraph">
                  <wp:posOffset>-885824</wp:posOffset>
                </wp:positionV>
                <wp:extent cx="680720" cy="728980"/>
                <wp:effectExtent b="0" l="0" r="508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D1253B" w:rsidDel="00000000" w:rsidP="00D1253B" w:rsidRDefault="00D1253B" w:rsidRPr="00000000"/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5194935</wp:posOffset>
                </wp:positionH>
                <wp:positionV relativeFrom="paragraph">
                  <wp:posOffset>-885824</wp:posOffset>
                </wp:positionV>
                <wp:extent cx="685800" cy="72898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7289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DANIELA ARAÚJO 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MARIANA SILVA </w:t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                  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                      Ambiguidade lexical polissemia/ homonímia 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                                      Gênero textual- charge 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ind w:left="4536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SEABRA</w:t>
      </w:r>
    </w:p>
    <w:p w:rsidR="00000000" w:rsidDel="00000000" w:rsidP="00000000" w:rsidRDefault="00000000" w:rsidRPr="00000000" w14:paraId="0000001C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2019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5194935</wp:posOffset>
                </wp:positionH>
                <wp:positionV relativeFrom="paragraph">
                  <wp:posOffset>-885824</wp:posOffset>
                </wp:positionV>
                <wp:extent cx="680720" cy="728980"/>
                <wp:effectExtent b="0" l="0" r="508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D1253B" w:rsidDel="00000000" w:rsidP="00D1253B" w:rsidRDefault="00D1253B" w:rsidRPr="00000000"/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5194935</wp:posOffset>
                </wp:positionH>
                <wp:positionV relativeFrom="paragraph">
                  <wp:posOffset>-885824</wp:posOffset>
                </wp:positionV>
                <wp:extent cx="685800" cy="728980"/>
                <wp:effectExtent b="0" l="0" r="0" t="0"/>
                <wp:wrapNone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7289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DANIELA ARAÚJO </w:t>
      </w:r>
    </w:p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MARIANA SILVA </w:t>
      </w:r>
    </w:p>
    <w:p w:rsidR="00000000" w:rsidDel="00000000" w:rsidP="00000000" w:rsidRDefault="00000000" w:rsidRPr="00000000" w14:paraId="00000021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                  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 USO DOS JOGOS ELETRÔNICOS E VIRTUAIS NA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ind w:left="4536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</w:t>
      </w:r>
      <w:r w:rsidDel="00000000" w:rsidR="00000000" w:rsidRPr="00000000">
        <w:rPr>
          <w:color w:val="000000"/>
          <w:rtl w:val="0"/>
        </w:rPr>
        <w:t xml:space="preserve">Trabalho apresentado á disciplina de Novas tecnologias e educação semestre III. </w:t>
      </w:r>
      <w:r w:rsidDel="00000000" w:rsidR="00000000" w:rsidRPr="00000000">
        <w:rPr>
          <w:b w:val="1"/>
          <w:color w:val="000000"/>
          <w:rtl w:val="0"/>
        </w:rPr>
        <w:t xml:space="preserve">Orientadora: </w:t>
      </w:r>
      <w:r w:rsidDel="00000000" w:rsidR="00000000" w:rsidRPr="00000000">
        <w:rPr>
          <w:color w:val="000000"/>
          <w:rtl w:val="0"/>
        </w:rPr>
        <w:t xml:space="preserve">profª. Vinicius Navarro.</w:t>
      </w:r>
    </w:p>
    <w:p w:rsidR="00000000" w:rsidDel="00000000" w:rsidP="00000000" w:rsidRDefault="00000000" w:rsidRPr="00000000" w14:paraId="0000002E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SEABRA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                          2019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 uso dos jogos eletrônicos e virtuais na educação </w:t>
      </w:r>
    </w:p>
    <w:p w:rsidR="00000000" w:rsidDel="00000000" w:rsidP="00000000" w:rsidRDefault="00000000" w:rsidRPr="00000000" w14:paraId="0000003F">
      <w:pPr>
        <w:spacing w:line="360" w:lineRule="auto"/>
        <w:ind w:firstLine="709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É crescente a discussão acadêmica sobre o uso de jogos digitais no ensino de língua, um reflexo da presença cada vez mais constante desse artefato cultural em nosso dia a dia.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preocupação e problemas que estamos enfrentando na educação por vicio dos alunos em jogos eletrônicos, dentro do mesmo podem-se encontrar soluções de como trazer esse uso favorável dentro da sala de aula. Os jogos eletrônicos, baseado nas reflexões dos possíveis diálogos entre as práticas culturais e escolares, Para muitos que estão de fora desses jogos, pensam que é apenas uma distração, um passa tempo, porém os jovens contrariam essa posição, pois levam a sério. Tornando-se cada vez mais a revolução tecnológica. Pensar nas práticas culturais dos jovens como o principal sujeito ajuda a entender suas maneiras de se relacionarem com seus pares e com o conhecimento e de estarem inseridos na sociedade contemporânea. Assim como Helenice diz em seu artigo as escolas precisam estar atento as essas novas mudanças no qual a educação está se inserindo em formas virtuais e reconhecendo novas forma de se relacionar com os novos métodos.  As dificuldades que os alunos sentem em alguns e alguns professores resistirem às tecnologias e continuar no ensino tradicional, é possível ter nas escolas os jogos educativos eletrônicos um deles se chama kahoot, é um jogo educativo no qual o professor fará as perguntas e quem mais acertar ganha uma pontuação, isso faz incentivar o aluno a querer sempre da o seu melhor. Não é novidade que os games são dotados de características que exercem forte influência sobre os jogadores e se os considerarmos além de sua funcionalidade primária direcionada ao entretenimento, notaremos que eles podem ser explorados no contexto escolar como recursos para uma prática pedagógica que privilegie a abordagem dos fatos linguísticos de forma contextualizada. A utilização de jogos digitais como recursos pedagógicos no ensino de língua portuguesa considerando-se a noção sócia interacional da linguagem e a abordagem segundo a qual o processo de conhecimento ocorre de forma não linear.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Pensar no uso de jogos digitais no ensino de língua portuguesa requer considerarmos a concepção da linguagem. No passado recente, os jogos eletrônicos eram vistos apenas como um tipo de entretenimento descompromissado, vicioso e motivador de comportamento violento por parte de seus usuários. “Hoje a indústria de jogos é uma das mais pungentes e reflete a importância desses objetos não apenas como elemento de diversão, mas também como artefato cultural constituído por regras, estética, interatividade, narrativa e interface” (MELLO; MASTROCOLA, 2016).</w:t>
      </w:r>
    </w:p>
    <w:p w:rsidR="00000000" w:rsidDel="00000000" w:rsidP="00000000" w:rsidRDefault="00000000" w:rsidRPr="00000000" w14:paraId="00000042">
      <w:pPr>
        <w:spacing w:after="0"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 os Parâmetros Curriculares Nacionais (PCN) de Língua Portuguesa, o ensino de língua nas modalidades oral e escrita ganhou relevância no contexto escolar, notadamente no que se refere a tornar o aluno competente do ponto de vista comunicativo. Marcuschi (2008) observa que a escola, na verdade, não precisa ensinar língua, pois o aluno já traz desenvolvida sua capacidade comunicativa; o que é preciso ensinar é formas não rotineiras de linguagem escrita e oral, os usos da língua, que lhe permitam ser bem-sucedido nas variadas situações de comunicação. Vê-se que as praticas tecnológicas, é uma ferramenta de grande valia para o professor. Permitindo assim explorar o conhecimento prévio do aluno e adaptando a esta pratica tão próxima cada dia mais da realidade dos jovens e adolescentes, tais como; aplicar apropriadamente, realizar ações linguísticas que ocorrem no contexto social mais amplo, promover a compreensão, por parte do aluno, da realidade e do objeto de estudo, inserir a criativamente, elaborar resenhas, tutoriais, vídeos, posts, entre outros gêneros; publicação das produções orais e escritas em canais como Youtube, Facebook, Steam, Snapchat ou por meio de blogs e fanzines elaborados colaborativa mente pelos próprios alunos.</w:t>
      </w:r>
    </w:p>
    <w:p w:rsidR="00000000" w:rsidDel="00000000" w:rsidP="00000000" w:rsidRDefault="00000000" w:rsidRPr="00000000" w14:paraId="00000043">
      <w:pPr>
        <w:spacing w:after="0"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adoção de práticas pedagógicas inovadoras, que permitam considerar outros contextos de ensino e aprendizagem além daqueles ditados pelos livros didáticos, pode resultar em experiências enriquecedoras no tocante à construção do conhecimento por meio de atividades que levem o aluno a assumir um papel mais ativo, e o professor, a assumir o papel de coaprendiz.</w:t>
      </w:r>
    </w:p>
    <w:p w:rsidR="00000000" w:rsidDel="00000000" w:rsidP="00000000" w:rsidRDefault="00000000" w:rsidRPr="00000000" w14:paraId="00000044">
      <w:pPr>
        <w:spacing w:after="0"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</w:t>
      </w:r>
    </w:p>
    <w:p w:rsidR="00000000" w:rsidDel="00000000" w:rsidP="00000000" w:rsidRDefault="00000000" w:rsidRPr="00000000" w14:paraId="00000045">
      <w:pPr>
        <w:spacing w:after="0"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360" w:lineRule="auto"/>
        <w:ind w:firstLine="70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   Referências Bibliográficas</w:t>
      </w:r>
    </w:p>
    <w:p w:rsidR="00000000" w:rsidDel="00000000" w:rsidP="00000000" w:rsidRDefault="00000000" w:rsidRPr="00000000" w14:paraId="00000053">
      <w:pPr>
        <w:spacing w:after="0" w:line="360" w:lineRule="auto"/>
        <w:ind w:firstLine="70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MARTINS, Daniele M.; COUTO JUNIOR, Dilton R. Jovens jogadores de videogames produção de sentidos: contribuição para se pensar práticas educativas alteritárias. In: REUNIÃO ANUAL INTERNACIONAL DA ASSOCIAÇÃO NACIONAL DE PÓS- GRADUAÇÃO E PESQUISA EM EDUCAÇÃO: PESQUISA E COMPROMISSO SOCIAL, 30, a2007, Caxambu. Anais... Timbaúba: Espaço Livre, 2007. P. I-6. Trabalho apresentado e publicado em CD-ROM.</w:t>
      </w:r>
    </w:p>
    <w:p w:rsidR="00000000" w:rsidDel="00000000" w:rsidP="00000000" w:rsidRDefault="00000000" w:rsidRPr="00000000" w14:paraId="00000056">
      <w:pPr>
        <w:spacing w:after="0" w:line="360" w:lineRule="auto"/>
        <w:ind w:firstLine="709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57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BRASIL. Ministério da Educação. Secretaria de Educação Fundamental. Parâmetros Curriculares Nacionais, 1999. Disponível em:. Acesso em: 5 out 2017.</w:t>
      </w:r>
    </w:p>
    <w:p w:rsidR="00000000" w:rsidDel="00000000" w:rsidP="00000000" w:rsidRDefault="00000000" w:rsidRPr="00000000" w14:paraId="00000058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MELLO, F. C.; MASTROCOLA, V. M. Game cultura: comunicação, entretenimento e educação. São Paulo: Cengage Learning, 2016.</w:t>
      </w:r>
    </w:p>
    <w:p w:rsidR="00000000" w:rsidDel="00000000" w:rsidP="00000000" w:rsidRDefault="00000000" w:rsidRPr="00000000" w14:paraId="0000005A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           </w:t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Style w:val="Subtitle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tulo">
    <w:name w:val="Subtitle"/>
    <w:basedOn w:val="Normal"/>
    <w:next w:val="Normal"/>
    <w:link w:val="SubttuloChar"/>
    <w:uiPriority w:val="11"/>
    <w:qFormat w:val="1"/>
    <w:rsid w:val="004D38D9"/>
    <w:pPr>
      <w:numPr>
        <w:ilvl w:val="1"/>
      </w:numPr>
    </w:pPr>
    <w:rPr>
      <w:rFonts w:eastAsiaTheme="minorEastAsia"/>
      <w:color w:val="5a5a5a" w:themeColor="text1" w:themeTint="0000A5"/>
      <w:spacing w:val="15"/>
    </w:rPr>
  </w:style>
  <w:style w:type="character" w:styleId="SubttuloChar" w:customStyle="1">
    <w:name w:val="Subtítulo Char"/>
    <w:basedOn w:val="Fontepargpadro"/>
    <w:link w:val="Subttulo"/>
    <w:uiPriority w:val="11"/>
    <w:rsid w:val="004D38D9"/>
    <w:rPr>
      <w:rFonts w:eastAsiaTheme="minorEastAsia"/>
      <w:color w:val="5a5a5a" w:themeColor="text1" w:themeTint="0000A5"/>
      <w:spacing w:val="15"/>
    </w:rPr>
  </w:style>
  <w:style w:type="character" w:styleId="nfaseSutil">
    <w:name w:val="Subtle Emphasis"/>
    <w:basedOn w:val="Fontepargpadro"/>
    <w:uiPriority w:val="19"/>
    <w:qFormat w:val="1"/>
    <w:rsid w:val="004D38D9"/>
    <w:rPr>
      <w:i w:val="1"/>
      <w:iCs w:val="1"/>
      <w:color w:val="404040" w:themeColor="text1" w:themeTint="0000BF"/>
    </w:rPr>
  </w:style>
  <w:style w:type="character" w:styleId="Hyperlink">
    <w:name w:val="Hyperlink"/>
    <w:basedOn w:val="Fontepargpadro"/>
    <w:uiPriority w:val="99"/>
    <w:unhideWhenUsed w:val="1"/>
    <w:rsid w:val="006259FD"/>
    <w:rPr>
      <w:color w:val="0563c1" w:themeColor="hyperlink"/>
      <w:u w:val="single"/>
    </w:rPr>
  </w:style>
  <w:style w:type="paragraph" w:styleId="selectionshareable" w:customStyle="1">
    <w:name w:val="selectionshareable"/>
    <w:basedOn w:val="Normal"/>
    <w:rsid w:val="008E250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 w:val="1"/>
    <w:rsid w:val="008E250E"/>
    <w:rPr>
      <w:b w:val="1"/>
      <w:bCs w:val="1"/>
    </w:rPr>
  </w:style>
  <w:style w:type="character" w:styleId="a" w:customStyle="1">
    <w:name w:val="a"/>
    <w:basedOn w:val="Fontepargpadro"/>
    <w:rsid w:val="00D32F06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6670E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6670E7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/>
    <w:rPr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2018-11-30T20:07:00Z</dcterms:created>
  <dc:creator>DESKTOP</dc:creator>
</cp:coreProperties>
</file>